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4489131F" w:rsidR="00837014" w:rsidRDefault="00837014">
      <w:r w:rsidRPr="00837014">
        <w:rPr>
          <w:b/>
          <w:bCs/>
        </w:rPr>
        <w:t>Reporting of emissions to air for the period from</w:t>
      </w:r>
      <w:r>
        <w:t xml:space="preserve"> </w:t>
      </w:r>
      <w:r w:rsidR="008F7EA7">
        <w:t>23</w:t>
      </w:r>
      <w:r>
        <w:t>/</w:t>
      </w:r>
      <w:r w:rsidR="008F7EA7">
        <w:t>08</w:t>
      </w:r>
      <w:r>
        <w:t>/</w:t>
      </w:r>
      <w:r w:rsidR="008F7EA7">
        <w:t>2021</w:t>
      </w:r>
      <w:r>
        <w:t xml:space="preserve"> </w:t>
      </w:r>
      <w:r w:rsidRPr="00837014">
        <w:rPr>
          <w:b/>
          <w:bCs/>
        </w:rPr>
        <w:t>to</w:t>
      </w:r>
      <w:r>
        <w:t xml:space="preserve"> </w:t>
      </w:r>
      <w:r w:rsidR="008F7EA7">
        <w:t>23</w:t>
      </w:r>
      <w:r>
        <w:t>/</w:t>
      </w:r>
      <w:r w:rsidR="008F7EA7">
        <w:t>08</w:t>
      </w:r>
      <w:r>
        <w:t>/</w:t>
      </w:r>
      <w:r w:rsidR="008F7EA7">
        <w:t>2022</w:t>
      </w:r>
    </w:p>
    <w:tbl>
      <w:tblPr>
        <w:tblStyle w:val="TableGrid"/>
        <w:tblW w:w="0" w:type="auto"/>
        <w:tblLook w:val="04A0" w:firstRow="1" w:lastRow="0" w:firstColumn="1" w:lastColumn="0" w:noHBand="0" w:noVBand="1"/>
      </w:tblPr>
      <w:tblGrid>
        <w:gridCol w:w="1115"/>
        <w:gridCol w:w="1400"/>
        <w:gridCol w:w="1485"/>
        <w:gridCol w:w="1374"/>
        <w:gridCol w:w="1057"/>
        <w:gridCol w:w="1409"/>
        <w:gridCol w:w="1418"/>
        <w:gridCol w:w="1198"/>
      </w:tblGrid>
      <w:tr w:rsidR="00C35600"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35600"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35600"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5FDA061C" w14:textId="2EC2796B" w:rsidR="00C706BC" w:rsidRPr="00C706BC" w:rsidRDefault="00D63390">
            <w:pPr>
              <w:rPr>
                <w:sz w:val="20"/>
                <w:szCs w:val="20"/>
              </w:rPr>
            </w:pPr>
            <w:r>
              <w:rPr>
                <w:sz w:val="20"/>
                <w:szCs w:val="20"/>
              </w:rPr>
              <w:t>330</w:t>
            </w:r>
          </w:p>
        </w:tc>
        <w:tc>
          <w:tcPr>
            <w:tcW w:w="1034" w:type="dxa"/>
          </w:tcPr>
          <w:p w14:paraId="4A293E0F" w14:textId="62053E46" w:rsidR="00C706BC" w:rsidRPr="00C706BC" w:rsidRDefault="00D63390">
            <w:pPr>
              <w:rPr>
                <w:sz w:val="20"/>
                <w:szCs w:val="20"/>
              </w:rPr>
            </w:pPr>
            <w:r>
              <w:rPr>
                <w:sz w:val="20"/>
                <w:szCs w:val="20"/>
              </w:rPr>
              <w:t>EN14792</w:t>
            </w:r>
          </w:p>
        </w:tc>
        <w:tc>
          <w:tcPr>
            <w:tcW w:w="1680" w:type="dxa"/>
          </w:tcPr>
          <w:p w14:paraId="7913CF46" w14:textId="77777777" w:rsidR="00C706BC" w:rsidRDefault="00D63390">
            <w:pPr>
              <w:rPr>
                <w:sz w:val="20"/>
                <w:szCs w:val="20"/>
              </w:rPr>
            </w:pPr>
            <w:r>
              <w:rPr>
                <w:sz w:val="20"/>
                <w:szCs w:val="20"/>
              </w:rPr>
              <w:t>13/10/22</w:t>
            </w:r>
          </w:p>
          <w:p w14:paraId="2B3E8FC8" w14:textId="115C11D5" w:rsidR="00D63390" w:rsidRPr="00C706BC" w:rsidRDefault="00D63390">
            <w:pPr>
              <w:rPr>
                <w:sz w:val="20"/>
                <w:szCs w:val="20"/>
              </w:rPr>
            </w:pPr>
            <w:r>
              <w:rPr>
                <w:sz w:val="20"/>
                <w:szCs w:val="20"/>
              </w:rPr>
              <w:t>10:44 – 11:44</w:t>
            </w:r>
          </w:p>
        </w:tc>
        <w:tc>
          <w:tcPr>
            <w:tcW w:w="1198" w:type="dxa"/>
          </w:tcPr>
          <w:p w14:paraId="5393817E" w14:textId="7C3A66A7" w:rsidR="00C706BC" w:rsidRPr="00C706BC" w:rsidRDefault="00B60CE2">
            <w:pPr>
              <w:rPr>
                <w:sz w:val="20"/>
                <w:szCs w:val="20"/>
              </w:rPr>
            </w:pPr>
            <w:r>
              <w:rPr>
                <w:sz w:val="20"/>
                <w:szCs w:val="20"/>
              </w:rPr>
              <w:t xml:space="preserve">+/- </w:t>
            </w:r>
            <w:r w:rsidR="00D63390">
              <w:rPr>
                <w:sz w:val="20"/>
                <w:szCs w:val="20"/>
              </w:rPr>
              <w:t>16</w:t>
            </w:r>
          </w:p>
        </w:tc>
      </w:tr>
      <w:tr w:rsidR="00C35600"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7A07567F" w14:textId="4888A84A" w:rsidR="00C706BC" w:rsidRPr="00C706BC" w:rsidRDefault="00D63390">
            <w:pPr>
              <w:rPr>
                <w:sz w:val="20"/>
                <w:szCs w:val="20"/>
              </w:rPr>
            </w:pPr>
            <w:r>
              <w:rPr>
                <w:sz w:val="20"/>
                <w:szCs w:val="20"/>
              </w:rPr>
              <w:t>523</w:t>
            </w:r>
          </w:p>
        </w:tc>
        <w:tc>
          <w:tcPr>
            <w:tcW w:w="1034" w:type="dxa"/>
          </w:tcPr>
          <w:p w14:paraId="068E4166" w14:textId="765472B1" w:rsidR="00C706BC" w:rsidRPr="00C706BC" w:rsidRDefault="00D63390">
            <w:pPr>
              <w:rPr>
                <w:sz w:val="20"/>
                <w:szCs w:val="20"/>
              </w:rPr>
            </w:pPr>
            <w:r>
              <w:rPr>
                <w:sz w:val="20"/>
                <w:szCs w:val="20"/>
              </w:rPr>
              <w:t>EN15058</w:t>
            </w:r>
          </w:p>
        </w:tc>
        <w:tc>
          <w:tcPr>
            <w:tcW w:w="1680" w:type="dxa"/>
          </w:tcPr>
          <w:p w14:paraId="612A4CCA" w14:textId="77777777" w:rsidR="00D63390" w:rsidRDefault="00D63390" w:rsidP="00D63390">
            <w:pPr>
              <w:rPr>
                <w:sz w:val="20"/>
                <w:szCs w:val="20"/>
              </w:rPr>
            </w:pPr>
            <w:r>
              <w:rPr>
                <w:sz w:val="20"/>
                <w:szCs w:val="20"/>
              </w:rPr>
              <w:t>13/10/22</w:t>
            </w:r>
          </w:p>
          <w:p w14:paraId="1A6F91E4" w14:textId="2ED0BBBF" w:rsidR="00C706BC" w:rsidRPr="00C706BC" w:rsidRDefault="00D63390" w:rsidP="00D63390">
            <w:pPr>
              <w:rPr>
                <w:sz w:val="20"/>
                <w:szCs w:val="20"/>
              </w:rPr>
            </w:pPr>
            <w:r>
              <w:rPr>
                <w:sz w:val="20"/>
                <w:szCs w:val="20"/>
              </w:rPr>
              <w:t>10:44 – 11:44</w:t>
            </w:r>
          </w:p>
        </w:tc>
        <w:tc>
          <w:tcPr>
            <w:tcW w:w="1198" w:type="dxa"/>
          </w:tcPr>
          <w:p w14:paraId="705DA67D" w14:textId="268FCCFB" w:rsidR="00C706BC" w:rsidRPr="00C706BC" w:rsidRDefault="00B60CE2">
            <w:pPr>
              <w:rPr>
                <w:sz w:val="20"/>
                <w:szCs w:val="20"/>
              </w:rPr>
            </w:pPr>
            <w:r>
              <w:rPr>
                <w:sz w:val="20"/>
                <w:szCs w:val="20"/>
              </w:rPr>
              <w:t xml:space="preserve">+/- </w:t>
            </w:r>
            <w:r w:rsidR="00D63390">
              <w:rPr>
                <w:sz w:val="20"/>
                <w:szCs w:val="20"/>
              </w:rPr>
              <w:t>25</w:t>
            </w:r>
          </w:p>
        </w:tc>
      </w:tr>
      <w:tr w:rsidR="00C35600"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06DAF6C7" w14:textId="196F3B8C" w:rsidR="00C706BC" w:rsidRPr="00C706BC" w:rsidRDefault="00D63390">
            <w:pPr>
              <w:rPr>
                <w:sz w:val="20"/>
                <w:szCs w:val="20"/>
              </w:rPr>
            </w:pPr>
            <w:r>
              <w:rPr>
                <w:sz w:val="20"/>
                <w:szCs w:val="20"/>
              </w:rPr>
              <w:t>41.5</w:t>
            </w:r>
          </w:p>
        </w:tc>
        <w:tc>
          <w:tcPr>
            <w:tcW w:w="1034" w:type="dxa"/>
          </w:tcPr>
          <w:p w14:paraId="1939D769" w14:textId="3AB5F446" w:rsidR="00C706BC" w:rsidRPr="00C706BC" w:rsidRDefault="00D63390">
            <w:pPr>
              <w:rPr>
                <w:sz w:val="20"/>
                <w:szCs w:val="20"/>
              </w:rPr>
            </w:pPr>
            <w:r>
              <w:rPr>
                <w:sz w:val="20"/>
                <w:szCs w:val="20"/>
              </w:rPr>
              <w:t>EN14791</w:t>
            </w:r>
          </w:p>
        </w:tc>
        <w:tc>
          <w:tcPr>
            <w:tcW w:w="1680" w:type="dxa"/>
          </w:tcPr>
          <w:p w14:paraId="18BF6A7A" w14:textId="77777777" w:rsidR="00D63390" w:rsidRDefault="00D63390" w:rsidP="00D63390">
            <w:pPr>
              <w:rPr>
                <w:sz w:val="20"/>
                <w:szCs w:val="20"/>
              </w:rPr>
            </w:pPr>
            <w:r>
              <w:rPr>
                <w:sz w:val="20"/>
                <w:szCs w:val="20"/>
              </w:rPr>
              <w:t>13/10/22</w:t>
            </w:r>
          </w:p>
          <w:p w14:paraId="5B098393" w14:textId="026486DE" w:rsidR="00C706BC" w:rsidRPr="00C706BC" w:rsidRDefault="00D63390" w:rsidP="00D63390">
            <w:pPr>
              <w:rPr>
                <w:sz w:val="20"/>
                <w:szCs w:val="20"/>
              </w:rPr>
            </w:pPr>
            <w:r>
              <w:rPr>
                <w:sz w:val="20"/>
                <w:szCs w:val="20"/>
              </w:rPr>
              <w:t>10:44 – 11:44</w:t>
            </w:r>
          </w:p>
        </w:tc>
        <w:tc>
          <w:tcPr>
            <w:tcW w:w="1198" w:type="dxa"/>
          </w:tcPr>
          <w:p w14:paraId="5FA59EAF" w14:textId="62926DEB" w:rsidR="00C706BC" w:rsidRPr="00C706BC" w:rsidRDefault="00B60CE2">
            <w:pPr>
              <w:rPr>
                <w:sz w:val="20"/>
                <w:szCs w:val="20"/>
              </w:rPr>
            </w:pPr>
            <w:r>
              <w:rPr>
                <w:sz w:val="20"/>
                <w:szCs w:val="20"/>
              </w:rPr>
              <w:t xml:space="preserve">+/- </w:t>
            </w:r>
            <w:r w:rsidR="00D63390">
              <w:rPr>
                <w:sz w:val="20"/>
                <w:szCs w:val="20"/>
              </w:rPr>
              <w:t>2.7</w:t>
            </w:r>
          </w:p>
        </w:tc>
      </w:tr>
      <w:tr w:rsidR="00C35600"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575F3341" w14:textId="3D0DD355" w:rsidR="00C706BC" w:rsidRPr="00C706BC" w:rsidRDefault="00D63390">
            <w:pPr>
              <w:rPr>
                <w:sz w:val="20"/>
                <w:szCs w:val="20"/>
              </w:rPr>
            </w:pPr>
            <w:r>
              <w:rPr>
                <w:sz w:val="20"/>
                <w:szCs w:val="20"/>
              </w:rPr>
              <w:t>738</w:t>
            </w:r>
          </w:p>
        </w:tc>
        <w:tc>
          <w:tcPr>
            <w:tcW w:w="1034" w:type="dxa"/>
          </w:tcPr>
          <w:p w14:paraId="7A3E1EAD" w14:textId="2CD76DD7" w:rsidR="00C706BC" w:rsidRPr="00C706BC" w:rsidRDefault="00D63390">
            <w:pPr>
              <w:rPr>
                <w:sz w:val="20"/>
                <w:szCs w:val="20"/>
              </w:rPr>
            </w:pPr>
            <w:r>
              <w:rPr>
                <w:sz w:val="20"/>
                <w:szCs w:val="20"/>
              </w:rPr>
              <w:t>EN12619:2013</w:t>
            </w:r>
          </w:p>
        </w:tc>
        <w:tc>
          <w:tcPr>
            <w:tcW w:w="1680" w:type="dxa"/>
          </w:tcPr>
          <w:p w14:paraId="32A11020" w14:textId="77777777" w:rsidR="00D63390" w:rsidRDefault="00D63390" w:rsidP="00D63390">
            <w:pPr>
              <w:rPr>
                <w:sz w:val="20"/>
                <w:szCs w:val="20"/>
              </w:rPr>
            </w:pPr>
            <w:r>
              <w:rPr>
                <w:sz w:val="20"/>
                <w:szCs w:val="20"/>
              </w:rPr>
              <w:t>13/10/22</w:t>
            </w:r>
          </w:p>
          <w:p w14:paraId="3C2BB96D" w14:textId="67F45A30" w:rsidR="00C706BC" w:rsidRPr="00C706BC" w:rsidRDefault="00D63390" w:rsidP="00D63390">
            <w:pPr>
              <w:rPr>
                <w:sz w:val="20"/>
                <w:szCs w:val="20"/>
              </w:rPr>
            </w:pPr>
            <w:r>
              <w:rPr>
                <w:sz w:val="20"/>
                <w:szCs w:val="20"/>
              </w:rPr>
              <w:t>10:44 – 11:44</w:t>
            </w:r>
          </w:p>
        </w:tc>
        <w:tc>
          <w:tcPr>
            <w:tcW w:w="1198" w:type="dxa"/>
          </w:tcPr>
          <w:p w14:paraId="08002FF7" w14:textId="5E6339DE" w:rsidR="00C706BC" w:rsidRPr="00C706BC" w:rsidRDefault="00B60CE2">
            <w:pPr>
              <w:rPr>
                <w:sz w:val="20"/>
                <w:szCs w:val="20"/>
              </w:rPr>
            </w:pPr>
            <w:r>
              <w:rPr>
                <w:sz w:val="20"/>
                <w:szCs w:val="20"/>
              </w:rPr>
              <w:t xml:space="preserve">+/- </w:t>
            </w:r>
            <w:r w:rsidR="00D63390">
              <w:rPr>
                <w:sz w:val="20"/>
                <w:szCs w:val="20"/>
              </w:rPr>
              <w:t>29</w:t>
            </w:r>
          </w:p>
        </w:tc>
      </w:tr>
      <w:tr w:rsidR="00C35600"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0403C29A" w14:textId="2650D7FC" w:rsidR="009D0E52" w:rsidRPr="00C706BC" w:rsidRDefault="00C35600" w:rsidP="00C35600">
            <w:pPr>
              <w:rPr>
                <w:sz w:val="20"/>
                <w:szCs w:val="20"/>
              </w:rPr>
            </w:pPr>
            <w:r>
              <w:rPr>
                <w:sz w:val="20"/>
                <w:szCs w:val="20"/>
              </w:rPr>
              <w:t xml:space="preserve">N/A Ref </w:t>
            </w:r>
          </w:p>
        </w:tc>
        <w:tc>
          <w:tcPr>
            <w:tcW w:w="1034" w:type="dxa"/>
          </w:tcPr>
          <w:p w14:paraId="1F4D3CED" w14:textId="27293178" w:rsidR="00C706BC" w:rsidRPr="00C706BC" w:rsidRDefault="00C35600">
            <w:pPr>
              <w:rPr>
                <w:sz w:val="20"/>
                <w:szCs w:val="20"/>
              </w:rPr>
            </w:pPr>
            <w:r>
              <w:t>LFTGN08 guidance – Section 2.3:</w:t>
            </w:r>
          </w:p>
        </w:tc>
        <w:tc>
          <w:tcPr>
            <w:tcW w:w="1680" w:type="dxa"/>
          </w:tcPr>
          <w:p w14:paraId="712725AA" w14:textId="7D29F8BD" w:rsidR="00C706BC" w:rsidRPr="00C706BC" w:rsidRDefault="00C35600">
            <w:pPr>
              <w:rPr>
                <w:sz w:val="20"/>
                <w:szCs w:val="20"/>
              </w:rPr>
            </w:pPr>
            <w:r>
              <w:rPr>
                <w:sz w:val="20"/>
                <w:szCs w:val="20"/>
              </w:rPr>
              <w:t>N/A</w:t>
            </w:r>
          </w:p>
        </w:tc>
        <w:tc>
          <w:tcPr>
            <w:tcW w:w="1198" w:type="dxa"/>
          </w:tcPr>
          <w:p w14:paraId="59656214" w14:textId="005DB6B1" w:rsidR="00C706BC" w:rsidRPr="00C706BC" w:rsidRDefault="00C35600">
            <w:pPr>
              <w:rPr>
                <w:sz w:val="20"/>
                <w:szCs w:val="20"/>
              </w:rPr>
            </w:pPr>
            <w:r>
              <w:rPr>
                <w:sz w:val="20"/>
                <w:szCs w:val="20"/>
              </w:rPr>
              <w:t>N/A</w:t>
            </w:r>
          </w:p>
        </w:tc>
      </w:tr>
      <w:tr w:rsidR="00C35600"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5FA9FEB5" w14:textId="77777777" w:rsidR="00C35600" w:rsidRDefault="00C35600" w:rsidP="00C35600">
            <w:pPr>
              <w:rPr>
                <w:sz w:val="20"/>
                <w:szCs w:val="20"/>
              </w:rPr>
            </w:pPr>
            <w:r>
              <w:rPr>
                <w:sz w:val="20"/>
                <w:szCs w:val="20"/>
              </w:rPr>
              <w:t>508°c</w:t>
            </w:r>
          </w:p>
          <w:p w14:paraId="179D3FF8" w14:textId="77777777" w:rsidR="00C35600" w:rsidRDefault="00C35600" w:rsidP="00C35600">
            <w:pPr>
              <w:rPr>
                <w:sz w:val="20"/>
                <w:szCs w:val="20"/>
              </w:rPr>
            </w:pPr>
            <w:r>
              <w:rPr>
                <w:sz w:val="20"/>
                <w:szCs w:val="20"/>
              </w:rPr>
              <w:t>Pre heat exchanger</w:t>
            </w:r>
          </w:p>
          <w:p w14:paraId="336B2F66" w14:textId="77777777" w:rsidR="00C706BC" w:rsidRPr="00C706BC" w:rsidRDefault="00C706BC">
            <w:pPr>
              <w:rPr>
                <w:sz w:val="20"/>
                <w:szCs w:val="20"/>
              </w:rPr>
            </w:pPr>
          </w:p>
        </w:tc>
        <w:tc>
          <w:tcPr>
            <w:tcW w:w="1034" w:type="dxa"/>
          </w:tcPr>
          <w:p w14:paraId="32063020" w14:textId="40B3CA95" w:rsidR="00C706BC" w:rsidRPr="00C706BC" w:rsidRDefault="00C35600">
            <w:pPr>
              <w:rPr>
                <w:sz w:val="20"/>
                <w:szCs w:val="20"/>
              </w:rPr>
            </w:pPr>
            <w:r>
              <w:rPr>
                <w:sz w:val="20"/>
                <w:szCs w:val="20"/>
              </w:rPr>
              <w:t>N/A</w:t>
            </w:r>
          </w:p>
        </w:tc>
        <w:tc>
          <w:tcPr>
            <w:tcW w:w="1680" w:type="dxa"/>
          </w:tcPr>
          <w:p w14:paraId="65132ACB" w14:textId="77777777" w:rsidR="00C706BC" w:rsidRDefault="00C35600">
            <w:pPr>
              <w:rPr>
                <w:sz w:val="20"/>
                <w:szCs w:val="20"/>
              </w:rPr>
            </w:pPr>
            <w:r>
              <w:rPr>
                <w:sz w:val="20"/>
                <w:szCs w:val="20"/>
              </w:rPr>
              <w:t>13/10/2022</w:t>
            </w:r>
          </w:p>
          <w:p w14:paraId="32710DD3" w14:textId="1D4722CF" w:rsidR="00C35600" w:rsidRPr="00C706BC" w:rsidRDefault="00C35600">
            <w:pPr>
              <w:rPr>
                <w:sz w:val="20"/>
                <w:szCs w:val="20"/>
              </w:rPr>
            </w:pPr>
            <w:r>
              <w:rPr>
                <w:sz w:val="20"/>
                <w:szCs w:val="20"/>
              </w:rPr>
              <w:t>11:14</w:t>
            </w:r>
          </w:p>
        </w:tc>
        <w:tc>
          <w:tcPr>
            <w:tcW w:w="1198" w:type="dxa"/>
          </w:tcPr>
          <w:p w14:paraId="75947B18" w14:textId="41C28BB6" w:rsidR="00C706BC" w:rsidRPr="00C706BC" w:rsidRDefault="00C35600">
            <w:pPr>
              <w:rPr>
                <w:sz w:val="20"/>
                <w:szCs w:val="20"/>
              </w:rPr>
            </w:pPr>
            <w:r>
              <w:rPr>
                <w:sz w:val="20"/>
                <w:szCs w:val="20"/>
              </w:rPr>
              <w:t>N/A</w:t>
            </w:r>
          </w:p>
        </w:tc>
      </w:tr>
      <w:tr w:rsidR="00C35600"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2C4669EF" w:rsidR="00C706BC" w:rsidRPr="00C706BC" w:rsidRDefault="003B4216">
            <w:pPr>
              <w:rPr>
                <w:sz w:val="20"/>
                <w:szCs w:val="20"/>
              </w:rPr>
            </w:pPr>
            <w:r>
              <w:rPr>
                <w:sz w:val="20"/>
                <w:szCs w:val="20"/>
              </w:rPr>
              <w:t>N/A</w:t>
            </w:r>
          </w:p>
        </w:tc>
        <w:tc>
          <w:tcPr>
            <w:tcW w:w="1034" w:type="dxa"/>
          </w:tcPr>
          <w:p w14:paraId="4AD2FC04" w14:textId="01BDE6DB" w:rsidR="00C706BC" w:rsidRPr="00C706BC" w:rsidRDefault="003B4216">
            <w:pPr>
              <w:rPr>
                <w:sz w:val="20"/>
                <w:szCs w:val="20"/>
              </w:rPr>
            </w:pPr>
            <w:r>
              <w:rPr>
                <w:sz w:val="20"/>
                <w:szCs w:val="20"/>
              </w:rPr>
              <w:t>N/A</w:t>
            </w:r>
          </w:p>
        </w:tc>
        <w:tc>
          <w:tcPr>
            <w:tcW w:w="1680" w:type="dxa"/>
          </w:tcPr>
          <w:p w14:paraId="1B1B0969" w14:textId="32982AF3" w:rsidR="00C706BC" w:rsidRPr="00C706BC" w:rsidRDefault="003B4216">
            <w:pPr>
              <w:rPr>
                <w:sz w:val="20"/>
                <w:szCs w:val="20"/>
              </w:rPr>
            </w:pPr>
            <w:r>
              <w:rPr>
                <w:sz w:val="20"/>
                <w:szCs w:val="20"/>
              </w:rPr>
              <w:t>N/A</w:t>
            </w:r>
          </w:p>
        </w:tc>
        <w:tc>
          <w:tcPr>
            <w:tcW w:w="1198" w:type="dxa"/>
          </w:tcPr>
          <w:p w14:paraId="19F1D417" w14:textId="2A49E109" w:rsidR="00C706BC" w:rsidRPr="00C706BC" w:rsidRDefault="003B4216">
            <w:pPr>
              <w:rPr>
                <w:sz w:val="20"/>
                <w:szCs w:val="20"/>
              </w:rPr>
            </w:pPr>
            <w:r>
              <w:rPr>
                <w:sz w:val="20"/>
                <w:szCs w:val="20"/>
              </w:rPr>
              <w:t>N/A</w:t>
            </w:r>
          </w:p>
        </w:tc>
      </w:tr>
      <w:tr w:rsidR="00C35600"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37AEEB29" w:rsidR="003B4216" w:rsidRPr="00C706BC" w:rsidRDefault="003B4216">
            <w:pPr>
              <w:rPr>
                <w:sz w:val="20"/>
                <w:szCs w:val="20"/>
              </w:rPr>
            </w:pPr>
            <w:r>
              <w:rPr>
                <w:sz w:val="20"/>
                <w:szCs w:val="20"/>
              </w:rPr>
              <w:t>N/A</w:t>
            </w:r>
          </w:p>
        </w:tc>
        <w:tc>
          <w:tcPr>
            <w:tcW w:w="1034" w:type="dxa"/>
          </w:tcPr>
          <w:p w14:paraId="45991FED" w14:textId="6D4E0B9D" w:rsidR="00C706BC" w:rsidRPr="00C706BC" w:rsidRDefault="003B4216">
            <w:pPr>
              <w:rPr>
                <w:sz w:val="20"/>
                <w:szCs w:val="20"/>
              </w:rPr>
            </w:pPr>
            <w:r>
              <w:rPr>
                <w:sz w:val="20"/>
                <w:szCs w:val="20"/>
              </w:rPr>
              <w:t>N/A</w:t>
            </w:r>
          </w:p>
        </w:tc>
        <w:tc>
          <w:tcPr>
            <w:tcW w:w="1680" w:type="dxa"/>
          </w:tcPr>
          <w:p w14:paraId="1E6AB3D2" w14:textId="12B47EDA" w:rsidR="00C706BC" w:rsidRPr="00C706BC" w:rsidRDefault="003B4216">
            <w:pPr>
              <w:rPr>
                <w:sz w:val="20"/>
                <w:szCs w:val="20"/>
              </w:rPr>
            </w:pPr>
            <w:r>
              <w:rPr>
                <w:sz w:val="20"/>
                <w:szCs w:val="20"/>
              </w:rPr>
              <w:t>N/A</w:t>
            </w:r>
          </w:p>
        </w:tc>
        <w:tc>
          <w:tcPr>
            <w:tcW w:w="1198" w:type="dxa"/>
          </w:tcPr>
          <w:p w14:paraId="6C7264F3" w14:textId="6F4AE684" w:rsidR="00C706BC" w:rsidRPr="00C706BC" w:rsidRDefault="003B4216">
            <w:pPr>
              <w:rPr>
                <w:sz w:val="20"/>
                <w:szCs w:val="20"/>
              </w:rPr>
            </w:pPr>
            <w:r>
              <w:rPr>
                <w:sz w:val="20"/>
                <w:szCs w:val="20"/>
              </w:rPr>
              <w:t>N/A</w:t>
            </w:r>
          </w:p>
        </w:tc>
      </w:tr>
      <w:tr w:rsidR="00C35600"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68FF90F5" w:rsidR="00C706BC" w:rsidRPr="00C706BC" w:rsidRDefault="003B4216">
            <w:pPr>
              <w:rPr>
                <w:sz w:val="20"/>
                <w:szCs w:val="20"/>
              </w:rPr>
            </w:pPr>
            <w:r>
              <w:rPr>
                <w:sz w:val="20"/>
                <w:szCs w:val="20"/>
              </w:rPr>
              <w:t>N/A</w:t>
            </w:r>
          </w:p>
        </w:tc>
        <w:tc>
          <w:tcPr>
            <w:tcW w:w="1034" w:type="dxa"/>
          </w:tcPr>
          <w:p w14:paraId="1D8C1559" w14:textId="66207EBF" w:rsidR="00C706BC" w:rsidRPr="00C706BC" w:rsidRDefault="003B4216">
            <w:pPr>
              <w:rPr>
                <w:sz w:val="20"/>
                <w:szCs w:val="20"/>
              </w:rPr>
            </w:pPr>
            <w:r>
              <w:rPr>
                <w:sz w:val="20"/>
                <w:szCs w:val="20"/>
              </w:rPr>
              <w:t>N/A</w:t>
            </w:r>
          </w:p>
        </w:tc>
        <w:tc>
          <w:tcPr>
            <w:tcW w:w="1680" w:type="dxa"/>
          </w:tcPr>
          <w:p w14:paraId="221BB5E6" w14:textId="31732B1E" w:rsidR="00C706BC" w:rsidRPr="00C706BC" w:rsidRDefault="003B4216">
            <w:pPr>
              <w:rPr>
                <w:sz w:val="20"/>
                <w:szCs w:val="20"/>
              </w:rPr>
            </w:pPr>
            <w:r>
              <w:rPr>
                <w:sz w:val="20"/>
                <w:szCs w:val="20"/>
              </w:rPr>
              <w:t>N/A</w:t>
            </w:r>
          </w:p>
        </w:tc>
        <w:tc>
          <w:tcPr>
            <w:tcW w:w="1198" w:type="dxa"/>
          </w:tcPr>
          <w:p w14:paraId="066AD255" w14:textId="277A4466" w:rsidR="00C706BC" w:rsidRPr="00C706BC" w:rsidRDefault="003B4216">
            <w:pPr>
              <w:rPr>
                <w:sz w:val="20"/>
                <w:szCs w:val="20"/>
              </w:rPr>
            </w:pPr>
            <w:r>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9F78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1E1F87"/>
    <w:rsid w:val="003B0C9F"/>
    <w:rsid w:val="003B4216"/>
    <w:rsid w:val="00490D8F"/>
    <w:rsid w:val="005C481A"/>
    <w:rsid w:val="00837014"/>
    <w:rsid w:val="008F7EA7"/>
    <w:rsid w:val="009D0E52"/>
    <w:rsid w:val="009F7874"/>
    <w:rsid w:val="00A814CF"/>
    <w:rsid w:val="00B60CE2"/>
    <w:rsid w:val="00C03B39"/>
    <w:rsid w:val="00C35600"/>
    <w:rsid w:val="00C706BC"/>
    <w:rsid w:val="00D26E36"/>
    <w:rsid w:val="00D572E8"/>
    <w:rsid w:val="00D63390"/>
    <w:rsid w:val="00E0119D"/>
    <w:rsid w:val="00ED7DA9"/>
    <w:rsid w:val="00F05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8</cp:revision>
  <cp:lastPrinted>2022-12-12T12:11:00Z</cp:lastPrinted>
  <dcterms:created xsi:type="dcterms:W3CDTF">2022-12-13T10:22:00Z</dcterms:created>
  <dcterms:modified xsi:type="dcterms:W3CDTF">2022-12-13T12:05:00Z</dcterms:modified>
</cp:coreProperties>
</file>